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CCA90A" w14:textId="77777777" w:rsidR="00262A59" w:rsidRPr="00557414" w:rsidRDefault="00F734FE">
      <w:pPr>
        <w:spacing w:line="0" w:lineRule="atLeast"/>
        <w:jc w:val="center"/>
        <w:rPr>
          <w:rFonts w:ascii="Century Gothic" w:eastAsia="Times New Roman" w:hAnsi="Century Gothic"/>
          <w:b/>
          <w:sz w:val="40"/>
          <w:szCs w:val="32"/>
        </w:rPr>
      </w:pPr>
      <w:r w:rsidRPr="00557414">
        <w:rPr>
          <w:rFonts w:ascii="Century Gothic" w:eastAsia="Times New Roman" w:hAnsi="Century Gothic"/>
          <w:b/>
          <w:sz w:val="40"/>
          <w:szCs w:val="32"/>
        </w:rPr>
        <w:t>L</w:t>
      </w:r>
      <w:r w:rsidR="00262A59" w:rsidRPr="00557414">
        <w:rPr>
          <w:rFonts w:ascii="Century Gothic" w:eastAsia="Times New Roman" w:hAnsi="Century Gothic"/>
          <w:b/>
          <w:sz w:val="40"/>
          <w:szCs w:val="32"/>
        </w:rPr>
        <w:t>ETTER OF ENGAGEMENT</w:t>
      </w:r>
    </w:p>
    <w:p w14:paraId="1F7DA5BF" w14:textId="77777777" w:rsidR="00262A59" w:rsidRDefault="00262A59">
      <w:pPr>
        <w:spacing w:line="203" w:lineRule="exact"/>
        <w:rPr>
          <w:rFonts w:ascii="Century Gothic" w:eastAsia="Times New Roman" w:hAnsi="Century Gothic"/>
        </w:rPr>
      </w:pPr>
    </w:p>
    <w:p w14:paraId="324C644F" w14:textId="77777777" w:rsidR="00F734FE" w:rsidRPr="00F734FE" w:rsidRDefault="00F734FE">
      <w:pPr>
        <w:spacing w:line="203" w:lineRule="exact"/>
        <w:rPr>
          <w:rFonts w:ascii="Century Gothic" w:eastAsia="Times New Roman" w:hAnsi="Century Gothic"/>
        </w:rPr>
      </w:pPr>
    </w:p>
    <w:p w14:paraId="37B0EEF6" w14:textId="632C8337" w:rsidR="00262A59" w:rsidRPr="00F734FE" w:rsidRDefault="00557414" w:rsidP="00A014C1">
      <w:pPr>
        <w:spacing w:line="276" w:lineRule="auto"/>
        <w:rPr>
          <w:rFonts w:ascii="Century Gothic" w:eastAsia="Times New Roman" w:hAnsi="Century Gothic"/>
          <w:sz w:val="24"/>
        </w:rPr>
      </w:pPr>
      <w:r>
        <w:rPr>
          <w:rFonts w:ascii="Century Gothic" w:eastAsia="Times New Roman" w:hAnsi="Century Gothic"/>
          <w:sz w:val="24"/>
        </w:rPr>
        <w:br/>
      </w:r>
      <w:r w:rsidR="00262A59" w:rsidRPr="00F734FE">
        <w:rPr>
          <w:rFonts w:ascii="Century Gothic" w:eastAsia="Times New Roman" w:hAnsi="Century Gothic"/>
          <w:sz w:val="24"/>
        </w:rPr>
        <w:t>To: [Name of Client]</w:t>
      </w:r>
    </w:p>
    <w:p w14:paraId="19CC190E" w14:textId="77777777" w:rsidR="00262A59" w:rsidRPr="00F734FE" w:rsidRDefault="00262A59" w:rsidP="00A014C1">
      <w:pPr>
        <w:spacing w:line="276" w:lineRule="auto"/>
        <w:rPr>
          <w:rFonts w:ascii="Century Gothic" w:eastAsia="Times New Roman" w:hAnsi="Century Gothic"/>
        </w:rPr>
      </w:pPr>
    </w:p>
    <w:p w14:paraId="45E9DEB7" w14:textId="3DB2CB11" w:rsidR="00262A59" w:rsidRPr="00F734FE" w:rsidRDefault="00557414" w:rsidP="00A014C1">
      <w:pPr>
        <w:spacing w:line="276" w:lineRule="auto"/>
        <w:ind w:right="60"/>
        <w:rPr>
          <w:rFonts w:ascii="Century Gothic" w:eastAsia="Times New Roman" w:hAnsi="Century Gothic"/>
          <w:sz w:val="24"/>
        </w:rPr>
      </w:pPr>
      <w:r>
        <w:rPr>
          <w:rFonts w:ascii="Century Gothic" w:eastAsia="Times New Roman" w:hAnsi="Century Gothic"/>
          <w:sz w:val="24"/>
        </w:rPr>
        <w:br/>
      </w:r>
      <w:r w:rsidR="00262A59" w:rsidRPr="00F734FE">
        <w:rPr>
          <w:rFonts w:ascii="Century Gothic" w:eastAsia="Times New Roman" w:hAnsi="Century Gothic"/>
          <w:sz w:val="24"/>
        </w:rPr>
        <w:t>This Letter of Engagement is furnished to you in accordance with Part 1215 of the Joint Rules of the Appellate Division.</w:t>
      </w:r>
    </w:p>
    <w:p w14:paraId="3811E7E6" w14:textId="77777777" w:rsidR="00262A59" w:rsidRPr="00F734FE" w:rsidRDefault="00262A59" w:rsidP="00A014C1">
      <w:pPr>
        <w:spacing w:line="276" w:lineRule="auto"/>
        <w:rPr>
          <w:rFonts w:ascii="Century Gothic" w:eastAsia="Times New Roman" w:hAnsi="Century Gothic"/>
        </w:rPr>
      </w:pPr>
    </w:p>
    <w:p w14:paraId="21FA3F18" w14:textId="77777777" w:rsidR="00262A59" w:rsidRPr="00F734FE" w:rsidRDefault="00262A59" w:rsidP="00A014C1">
      <w:pPr>
        <w:spacing w:line="276" w:lineRule="auto"/>
        <w:ind w:right="740"/>
        <w:jc w:val="both"/>
        <w:rPr>
          <w:rFonts w:ascii="Century Gothic" w:eastAsia="Times New Roman" w:hAnsi="Century Gothic"/>
          <w:sz w:val="24"/>
        </w:rPr>
      </w:pPr>
      <w:r w:rsidRPr="00F734FE">
        <w:rPr>
          <w:rFonts w:ascii="Century Gothic" w:eastAsia="Times New Roman" w:hAnsi="Century Gothic"/>
          <w:sz w:val="24"/>
        </w:rPr>
        <w:t>Having reviewed with you the Statement of Client’s Rights and the Statement of Client’s Responsibilities, we have undertaken your representation in connection with the matter[s] described below:</w:t>
      </w:r>
    </w:p>
    <w:p w14:paraId="18533BB6" w14:textId="77777777" w:rsidR="00262A59" w:rsidRPr="00F734FE" w:rsidRDefault="00262A59" w:rsidP="00A014C1">
      <w:pPr>
        <w:spacing w:line="276" w:lineRule="auto"/>
        <w:rPr>
          <w:rFonts w:ascii="Century Gothic" w:eastAsia="Times New Roman" w:hAnsi="Century Gothic"/>
        </w:rPr>
      </w:pPr>
    </w:p>
    <w:p w14:paraId="4C266D3D" w14:textId="77777777" w:rsidR="00262A59" w:rsidRPr="00F734FE" w:rsidRDefault="00262A59" w:rsidP="00A014C1">
      <w:pPr>
        <w:spacing w:line="276" w:lineRule="auto"/>
        <w:rPr>
          <w:rFonts w:ascii="Century Gothic" w:eastAsia="Times New Roman" w:hAnsi="Century Gothic"/>
          <w:b/>
          <w:bCs/>
          <w:sz w:val="24"/>
        </w:rPr>
      </w:pPr>
      <w:r w:rsidRPr="00F734FE">
        <w:rPr>
          <w:rFonts w:ascii="Century Gothic" w:eastAsia="Times New Roman" w:hAnsi="Century Gothic"/>
          <w:b/>
          <w:bCs/>
          <w:sz w:val="24"/>
        </w:rPr>
        <w:t>SCOPE OF REPRESENTATION</w:t>
      </w:r>
    </w:p>
    <w:p w14:paraId="793998DF" w14:textId="77777777" w:rsidR="00262A59" w:rsidRPr="00F734FE" w:rsidRDefault="00262A59" w:rsidP="00A014C1">
      <w:pPr>
        <w:spacing w:line="276" w:lineRule="auto"/>
        <w:rPr>
          <w:rFonts w:ascii="Century Gothic" w:eastAsia="Times New Roman" w:hAnsi="Century Gothic"/>
        </w:rPr>
      </w:pPr>
    </w:p>
    <w:p w14:paraId="31AA8971" w14:textId="77777777" w:rsidR="00262A59" w:rsidRPr="00F734FE" w:rsidRDefault="00262A59" w:rsidP="00A014C1">
      <w:pPr>
        <w:spacing w:line="276" w:lineRule="auto"/>
        <w:rPr>
          <w:rFonts w:ascii="Century Gothic" w:eastAsia="Times New Roman" w:hAnsi="Century Gothic"/>
          <w:sz w:val="24"/>
          <w:u w:val="single"/>
        </w:rPr>
      </w:pPr>
      <w:r w:rsidRPr="00F734FE">
        <w:rPr>
          <w:rFonts w:ascii="Century Gothic" w:eastAsia="Times New Roman" w:hAnsi="Century Gothic"/>
          <w:sz w:val="24"/>
        </w:rPr>
        <w:t xml:space="preserve">A claim, </w:t>
      </w:r>
      <w:proofErr w:type="gramStart"/>
      <w:r w:rsidRPr="00F734FE">
        <w:rPr>
          <w:rFonts w:ascii="Century Gothic" w:eastAsia="Times New Roman" w:hAnsi="Century Gothic"/>
          <w:sz w:val="24"/>
        </w:rPr>
        <w:t>dispute</w:t>
      </w:r>
      <w:proofErr w:type="gramEnd"/>
      <w:r w:rsidRPr="00F734FE">
        <w:rPr>
          <w:rFonts w:ascii="Century Gothic" w:eastAsia="Times New Roman" w:hAnsi="Century Gothic"/>
          <w:sz w:val="24"/>
        </w:rPr>
        <w:t xml:space="preserve"> or dealings with relating to </w:t>
      </w:r>
      <w:r w:rsidRPr="00F734FE">
        <w:rPr>
          <w:rFonts w:ascii="Century Gothic" w:eastAsia="Times New Roman" w:hAnsi="Century Gothic"/>
          <w:sz w:val="24"/>
          <w:u w:val="single"/>
        </w:rPr>
        <w:t>_________________________________________</w:t>
      </w:r>
    </w:p>
    <w:p w14:paraId="76677336" w14:textId="77777777" w:rsidR="00262A59" w:rsidRPr="00F734FE" w:rsidRDefault="00262A59" w:rsidP="00A014C1">
      <w:pPr>
        <w:spacing w:line="276" w:lineRule="auto"/>
        <w:rPr>
          <w:rFonts w:ascii="Century Gothic" w:eastAsia="Times New Roman" w:hAnsi="Century Gothic"/>
        </w:rPr>
      </w:pPr>
    </w:p>
    <w:p w14:paraId="79BBE389" w14:textId="77777777" w:rsidR="00262A59" w:rsidRPr="00F734FE" w:rsidRDefault="00262A59" w:rsidP="00A014C1">
      <w:pPr>
        <w:spacing w:line="276" w:lineRule="auto"/>
        <w:ind w:right="200"/>
        <w:jc w:val="both"/>
        <w:rPr>
          <w:rFonts w:ascii="Century Gothic" w:eastAsia="Times New Roman" w:hAnsi="Century Gothic"/>
          <w:sz w:val="23"/>
        </w:rPr>
      </w:pPr>
      <w:proofErr w:type="gramStart"/>
      <w:r w:rsidRPr="00F734FE">
        <w:rPr>
          <w:rFonts w:ascii="Century Gothic" w:eastAsia="Times New Roman" w:hAnsi="Century Gothic"/>
          <w:sz w:val="23"/>
        </w:rPr>
        <w:t>All of</w:t>
      </w:r>
      <w:proofErr w:type="gramEnd"/>
      <w:r w:rsidRPr="00F734FE">
        <w:rPr>
          <w:rFonts w:ascii="Century Gothic" w:eastAsia="Times New Roman" w:hAnsi="Century Gothic"/>
          <w:sz w:val="23"/>
        </w:rPr>
        <w:t xml:space="preserve"> our services in this matter will end, unless otherwise agreed upon in a writing signed by us, when there is a final agreement, settlement, decision or judgment by the court. Not included within the scope of our representation are appeals from any judgments or orders of the court.</w:t>
      </w:r>
    </w:p>
    <w:p w14:paraId="381507F7" w14:textId="77777777" w:rsidR="00262A59" w:rsidRPr="00F734FE" w:rsidRDefault="00262A59" w:rsidP="00A014C1">
      <w:pPr>
        <w:spacing w:line="276" w:lineRule="auto"/>
        <w:rPr>
          <w:rFonts w:ascii="Century Gothic" w:eastAsia="Times New Roman" w:hAnsi="Century Gothic"/>
        </w:rPr>
      </w:pPr>
    </w:p>
    <w:p w14:paraId="19DF58B0" w14:textId="77777777" w:rsidR="00262A59" w:rsidRPr="00F734FE" w:rsidRDefault="00262A59" w:rsidP="00A014C1">
      <w:pPr>
        <w:spacing w:line="276" w:lineRule="auto"/>
        <w:ind w:right="300"/>
        <w:jc w:val="both"/>
        <w:rPr>
          <w:rFonts w:ascii="Century Gothic" w:eastAsia="Times New Roman" w:hAnsi="Century Gothic"/>
          <w:sz w:val="24"/>
        </w:rPr>
      </w:pPr>
      <w:r w:rsidRPr="00F734FE">
        <w:rPr>
          <w:rFonts w:ascii="Century Gothic" w:eastAsia="Times New Roman" w:hAnsi="Century Gothic"/>
          <w:sz w:val="24"/>
        </w:rPr>
        <w:t>Appeals are subject to separate discussion and negotiation between our firm and you. Also not included in the scope of this agreement are services you may request of us in connection with any other matter, action or proceeding.</w:t>
      </w:r>
    </w:p>
    <w:p w14:paraId="285A1621" w14:textId="77777777" w:rsidR="00262A59" w:rsidRPr="00F734FE" w:rsidRDefault="00262A59" w:rsidP="00A014C1">
      <w:pPr>
        <w:spacing w:line="276" w:lineRule="auto"/>
        <w:rPr>
          <w:rFonts w:ascii="Century Gothic" w:eastAsia="Times New Roman" w:hAnsi="Century Gothic"/>
        </w:rPr>
      </w:pPr>
    </w:p>
    <w:p w14:paraId="230FC0B0" w14:textId="77777777" w:rsidR="00262A59" w:rsidRPr="00F734FE" w:rsidRDefault="00262A59" w:rsidP="00A014C1">
      <w:pPr>
        <w:spacing w:line="276" w:lineRule="auto"/>
        <w:rPr>
          <w:rFonts w:ascii="Century Gothic" w:eastAsia="Times New Roman" w:hAnsi="Century Gothic"/>
          <w:b/>
          <w:bCs/>
          <w:sz w:val="24"/>
        </w:rPr>
      </w:pPr>
      <w:r w:rsidRPr="00F734FE">
        <w:rPr>
          <w:rFonts w:ascii="Century Gothic" w:eastAsia="Times New Roman" w:hAnsi="Century Gothic"/>
          <w:b/>
          <w:bCs/>
          <w:sz w:val="24"/>
        </w:rPr>
        <w:t>FEES, EXPENSES AND BILLING PRACTICE</w:t>
      </w:r>
    </w:p>
    <w:p w14:paraId="2E5FEB77" w14:textId="77777777" w:rsidR="00262A59" w:rsidRPr="00F734FE" w:rsidRDefault="00262A59" w:rsidP="00A014C1">
      <w:pPr>
        <w:spacing w:line="276" w:lineRule="auto"/>
        <w:rPr>
          <w:rFonts w:ascii="Century Gothic" w:eastAsia="Times New Roman" w:hAnsi="Century Gothic"/>
        </w:rPr>
      </w:pPr>
    </w:p>
    <w:p w14:paraId="30D911AB" w14:textId="77777777" w:rsidR="00262A59" w:rsidRPr="00F734FE" w:rsidRDefault="00262A59" w:rsidP="00A014C1">
      <w:pPr>
        <w:spacing w:line="276" w:lineRule="auto"/>
        <w:ind w:right="260"/>
        <w:rPr>
          <w:rFonts w:ascii="Century Gothic" w:eastAsia="Times New Roman" w:hAnsi="Century Gothic"/>
          <w:sz w:val="24"/>
        </w:rPr>
      </w:pPr>
      <w:r w:rsidRPr="00F734FE">
        <w:rPr>
          <w:rFonts w:ascii="Century Gothic" w:eastAsia="Times New Roman" w:hAnsi="Century Gothic"/>
          <w:sz w:val="24"/>
        </w:rPr>
        <w:t>We intend to submit a bill to you no less frequently than every 60 days. Expenses will be separately stated on the bill and our fees will be charged as indicated below [check appropriate box]:</w:t>
      </w:r>
    </w:p>
    <w:p w14:paraId="12879402" w14:textId="77777777" w:rsidR="00262A59" w:rsidRPr="00F734FE" w:rsidRDefault="00262A59" w:rsidP="00A014C1">
      <w:pPr>
        <w:spacing w:line="276" w:lineRule="auto"/>
        <w:rPr>
          <w:rFonts w:ascii="Century Gothic" w:eastAsia="Times New Roman" w:hAnsi="Century Gothic"/>
        </w:rPr>
      </w:pPr>
    </w:p>
    <w:p w14:paraId="7645BDC1" w14:textId="77777777" w:rsidR="00262A59" w:rsidRPr="00F734FE" w:rsidRDefault="00262A59" w:rsidP="00A014C1">
      <w:pPr>
        <w:spacing w:line="276" w:lineRule="auto"/>
        <w:ind w:right="180"/>
        <w:rPr>
          <w:rFonts w:ascii="Century Gothic" w:eastAsia="Times New Roman" w:hAnsi="Century Gothic"/>
          <w:sz w:val="24"/>
        </w:rPr>
      </w:pPr>
      <w:r w:rsidRPr="00F734FE">
        <w:rPr>
          <w:rFonts w:ascii="Century Gothic" w:eastAsia="Times New Roman" w:hAnsi="Century Gothic"/>
          <w:sz w:val="24"/>
        </w:rPr>
        <w:t xml:space="preserve">[ ] If on contingency, the fee will be charged in accordance with the following percent or scaled percentages </w:t>
      </w:r>
      <w:r w:rsidRPr="00F734FE">
        <w:rPr>
          <w:rFonts w:ascii="Century Gothic" w:eastAsia="Times New Roman" w:hAnsi="Century Gothic"/>
          <w:sz w:val="24"/>
          <w:u w:val="single"/>
        </w:rPr>
        <w:t>_____</w:t>
      </w:r>
      <w:r w:rsidRPr="00F734FE">
        <w:rPr>
          <w:rFonts w:ascii="Century Gothic" w:eastAsia="Times New Roman" w:hAnsi="Century Gothic"/>
          <w:sz w:val="24"/>
        </w:rPr>
        <w:t>. The stated percentage or percentages will be applied to the net sum</w:t>
      </w:r>
    </w:p>
    <w:p w14:paraId="6C8D9BAF" w14:textId="77777777" w:rsidR="00262A59" w:rsidRPr="00F734FE" w:rsidRDefault="00262A59" w:rsidP="00A014C1">
      <w:pPr>
        <w:spacing w:line="276" w:lineRule="auto"/>
        <w:rPr>
          <w:rFonts w:ascii="Century Gothic" w:eastAsia="Times New Roman" w:hAnsi="Century Gothic"/>
        </w:rPr>
      </w:pPr>
    </w:p>
    <w:p w14:paraId="0F9A6B1C" w14:textId="77777777" w:rsidR="00262A59" w:rsidRPr="00F734FE" w:rsidRDefault="00262A59" w:rsidP="00A014C1">
      <w:pPr>
        <w:spacing w:line="276" w:lineRule="auto"/>
        <w:ind w:right="500"/>
        <w:rPr>
          <w:rFonts w:ascii="Century Gothic" w:eastAsia="Times New Roman" w:hAnsi="Century Gothic"/>
          <w:sz w:val="24"/>
        </w:rPr>
      </w:pPr>
      <w:r w:rsidRPr="00F734FE">
        <w:rPr>
          <w:rFonts w:ascii="Century Gothic" w:eastAsia="Times New Roman" w:hAnsi="Century Gothic"/>
          <w:sz w:val="24"/>
        </w:rPr>
        <w:t xml:space="preserve">recovered after the deduction of expenses. You will be liable for reimbursement of expenses </w:t>
      </w:r>
      <w:proofErr w:type="gramStart"/>
      <w:r w:rsidRPr="00F734FE">
        <w:rPr>
          <w:rFonts w:ascii="Century Gothic" w:eastAsia="Times New Roman" w:hAnsi="Century Gothic"/>
          <w:sz w:val="24"/>
        </w:rPr>
        <w:t>whether or not</w:t>
      </w:r>
      <w:proofErr w:type="gramEnd"/>
      <w:r w:rsidRPr="00F734FE">
        <w:rPr>
          <w:rFonts w:ascii="Century Gothic" w:eastAsia="Times New Roman" w:hAnsi="Century Gothic"/>
          <w:sz w:val="24"/>
        </w:rPr>
        <w:t xml:space="preserve"> there is a recovery.</w:t>
      </w:r>
    </w:p>
    <w:p w14:paraId="320BBF41" w14:textId="77777777" w:rsidR="00262A59" w:rsidRPr="00F734FE" w:rsidRDefault="00262A59" w:rsidP="00A014C1">
      <w:pPr>
        <w:spacing w:line="276" w:lineRule="auto"/>
        <w:rPr>
          <w:rFonts w:ascii="Century Gothic" w:eastAsia="Times New Roman" w:hAnsi="Century Gothic"/>
        </w:rPr>
      </w:pPr>
    </w:p>
    <w:p w14:paraId="07B4EF4B" w14:textId="77777777" w:rsidR="00262A59" w:rsidRPr="00F734FE" w:rsidRDefault="00262A59" w:rsidP="00A014C1">
      <w:pPr>
        <w:spacing w:line="276" w:lineRule="auto"/>
        <w:rPr>
          <w:rFonts w:ascii="Century Gothic" w:eastAsia="Times New Roman" w:hAnsi="Century Gothic"/>
          <w:sz w:val="24"/>
        </w:rPr>
      </w:pPr>
      <w:r w:rsidRPr="00F734FE">
        <w:rPr>
          <w:rFonts w:ascii="Century Gothic" w:eastAsia="Times New Roman" w:hAnsi="Century Gothic"/>
          <w:sz w:val="24"/>
        </w:rPr>
        <w:t>[ ] On the basis of our time charges as follows:</w:t>
      </w:r>
    </w:p>
    <w:p w14:paraId="434CB915" w14:textId="77777777" w:rsidR="00262A59" w:rsidRPr="00F734FE" w:rsidRDefault="00262A59" w:rsidP="00A014C1">
      <w:pPr>
        <w:spacing w:line="276" w:lineRule="auto"/>
        <w:rPr>
          <w:rFonts w:ascii="Century Gothic" w:eastAsia="Times New Roman" w:hAnsi="Century Gothic"/>
        </w:rPr>
      </w:pPr>
    </w:p>
    <w:p w14:paraId="7165343E" w14:textId="77777777" w:rsidR="00262A59" w:rsidRPr="00F734FE" w:rsidRDefault="00262A59" w:rsidP="00A014C1">
      <w:pPr>
        <w:spacing w:line="276" w:lineRule="auto"/>
        <w:rPr>
          <w:rFonts w:ascii="Century Gothic" w:eastAsia="Times New Roman" w:hAnsi="Century Gothic"/>
          <w:sz w:val="24"/>
        </w:rPr>
      </w:pPr>
      <w:r w:rsidRPr="00F734FE">
        <w:rPr>
          <w:rFonts w:ascii="Century Gothic" w:eastAsia="Times New Roman" w:hAnsi="Century Gothic"/>
          <w:sz w:val="24"/>
        </w:rPr>
        <w:t xml:space="preserve">$ </w:t>
      </w:r>
      <w:r w:rsidRPr="00F734FE">
        <w:rPr>
          <w:rFonts w:ascii="Century Gothic" w:eastAsia="Times New Roman" w:hAnsi="Century Gothic"/>
          <w:sz w:val="24"/>
          <w:u w:val="single"/>
        </w:rPr>
        <w:t>_______</w:t>
      </w:r>
      <w:r w:rsidRPr="00F734FE">
        <w:rPr>
          <w:rFonts w:ascii="Century Gothic" w:eastAsia="Times New Roman" w:hAnsi="Century Gothic"/>
          <w:sz w:val="24"/>
        </w:rPr>
        <w:t>per hour for the services of [name</w:t>
      </w:r>
      <w:proofErr w:type="gramStart"/>
      <w:r w:rsidRPr="00F734FE">
        <w:rPr>
          <w:rFonts w:ascii="Century Gothic" w:eastAsia="Times New Roman" w:hAnsi="Century Gothic"/>
          <w:sz w:val="24"/>
        </w:rPr>
        <w:t>];</w:t>
      </w:r>
      <w:proofErr w:type="gramEnd"/>
    </w:p>
    <w:p w14:paraId="529211A7" w14:textId="77777777" w:rsidR="00262A59" w:rsidRPr="00F734FE" w:rsidRDefault="00262A59" w:rsidP="00A014C1">
      <w:pPr>
        <w:spacing w:line="276" w:lineRule="auto"/>
        <w:rPr>
          <w:rFonts w:ascii="Century Gothic" w:eastAsia="Times New Roman" w:hAnsi="Century Gothic"/>
        </w:rPr>
      </w:pPr>
    </w:p>
    <w:p w14:paraId="48BC197F" w14:textId="77777777" w:rsidR="00262A59" w:rsidRPr="00F734FE" w:rsidRDefault="00262A59" w:rsidP="00A014C1">
      <w:pPr>
        <w:spacing w:line="276" w:lineRule="auto"/>
        <w:rPr>
          <w:rFonts w:ascii="Century Gothic" w:eastAsia="Times New Roman" w:hAnsi="Century Gothic"/>
          <w:sz w:val="24"/>
        </w:rPr>
      </w:pPr>
      <w:r w:rsidRPr="00F734FE">
        <w:rPr>
          <w:rFonts w:ascii="Century Gothic" w:eastAsia="Times New Roman" w:hAnsi="Century Gothic"/>
          <w:sz w:val="24"/>
        </w:rPr>
        <w:t xml:space="preserve">$ </w:t>
      </w:r>
      <w:r w:rsidRPr="00F734FE">
        <w:rPr>
          <w:rFonts w:ascii="Century Gothic" w:eastAsia="Times New Roman" w:hAnsi="Century Gothic"/>
          <w:sz w:val="24"/>
          <w:u w:val="single"/>
        </w:rPr>
        <w:t>_______</w:t>
      </w:r>
      <w:r w:rsidRPr="00F734FE">
        <w:rPr>
          <w:rFonts w:ascii="Century Gothic" w:eastAsia="Times New Roman" w:hAnsi="Century Gothic"/>
          <w:sz w:val="24"/>
        </w:rPr>
        <w:t>per hour for the services of [name</w:t>
      </w:r>
      <w:proofErr w:type="gramStart"/>
      <w:r w:rsidRPr="00F734FE">
        <w:rPr>
          <w:rFonts w:ascii="Century Gothic" w:eastAsia="Times New Roman" w:hAnsi="Century Gothic"/>
          <w:sz w:val="24"/>
        </w:rPr>
        <w:t>];</w:t>
      </w:r>
      <w:proofErr w:type="gramEnd"/>
    </w:p>
    <w:p w14:paraId="732AF134" w14:textId="77777777" w:rsidR="00262A59" w:rsidRPr="00F734FE" w:rsidRDefault="00262A59" w:rsidP="00A014C1">
      <w:pPr>
        <w:spacing w:line="276" w:lineRule="auto"/>
        <w:rPr>
          <w:rFonts w:ascii="Century Gothic" w:eastAsia="Times New Roman" w:hAnsi="Century Gothic"/>
          <w:sz w:val="24"/>
        </w:rPr>
      </w:pPr>
    </w:p>
    <w:p w14:paraId="51745073" w14:textId="77777777" w:rsidR="00262A59" w:rsidRPr="00F734FE" w:rsidRDefault="00262A59" w:rsidP="00A014C1">
      <w:pPr>
        <w:spacing w:line="276" w:lineRule="auto"/>
        <w:rPr>
          <w:rFonts w:ascii="Century Gothic" w:eastAsia="Times New Roman" w:hAnsi="Century Gothic"/>
        </w:rPr>
      </w:pPr>
    </w:p>
    <w:p w14:paraId="763F2FA7" w14:textId="77777777" w:rsidR="00262A59" w:rsidRPr="00F734FE" w:rsidRDefault="00262A59" w:rsidP="00A014C1">
      <w:pPr>
        <w:spacing w:line="276" w:lineRule="auto"/>
        <w:rPr>
          <w:rFonts w:ascii="Century Gothic" w:eastAsia="Times New Roman" w:hAnsi="Century Gothic"/>
          <w:sz w:val="24"/>
        </w:rPr>
      </w:pPr>
      <w:r w:rsidRPr="00F734FE">
        <w:rPr>
          <w:rFonts w:ascii="Century Gothic" w:eastAsia="Times New Roman" w:hAnsi="Century Gothic"/>
          <w:sz w:val="24"/>
        </w:rPr>
        <w:t>[ ] A flat fee of $ for all services within the scope of our representation as set forth above.</w:t>
      </w:r>
    </w:p>
    <w:p w14:paraId="71141EBD" w14:textId="77777777" w:rsidR="00262A59" w:rsidRPr="00F734FE" w:rsidRDefault="00262A59" w:rsidP="00A014C1">
      <w:pPr>
        <w:spacing w:line="276" w:lineRule="auto"/>
        <w:rPr>
          <w:rFonts w:ascii="Century Gothic" w:eastAsia="Times New Roman" w:hAnsi="Century Gothic"/>
        </w:rPr>
      </w:pPr>
    </w:p>
    <w:p w14:paraId="2BEC2947" w14:textId="77777777" w:rsidR="00262A59" w:rsidRPr="00F734FE" w:rsidRDefault="00262A59" w:rsidP="00A014C1">
      <w:pPr>
        <w:spacing w:line="276" w:lineRule="auto"/>
        <w:ind w:right="300"/>
        <w:jc w:val="both"/>
        <w:rPr>
          <w:rFonts w:ascii="Century Gothic" w:eastAsia="Times New Roman" w:hAnsi="Century Gothic"/>
          <w:sz w:val="24"/>
        </w:rPr>
      </w:pPr>
      <w:r w:rsidRPr="00F734FE">
        <w:rPr>
          <w:rFonts w:ascii="Century Gothic" w:eastAsia="Times New Roman" w:hAnsi="Century Gothic"/>
          <w:sz w:val="24"/>
        </w:rPr>
        <w:t>In consideration of our services, in matters in which the fee is based on time charges, we shall require a retainer of $</w:t>
      </w:r>
      <w:r w:rsidRPr="00F734FE">
        <w:rPr>
          <w:rFonts w:ascii="Century Gothic" w:eastAsia="Times New Roman" w:hAnsi="Century Gothic"/>
          <w:sz w:val="24"/>
          <w:u w:val="single"/>
        </w:rPr>
        <w:t>_________</w:t>
      </w:r>
      <w:r w:rsidRPr="00F734FE">
        <w:rPr>
          <w:rFonts w:ascii="Century Gothic" w:eastAsia="Times New Roman" w:hAnsi="Century Gothic"/>
          <w:sz w:val="24"/>
        </w:rPr>
        <w:t xml:space="preserve">, of which the first $ </w:t>
      </w:r>
      <w:r w:rsidRPr="00F734FE">
        <w:rPr>
          <w:rFonts w:ascii="Century Gothic" w:eastAsia="Times New Roman" w:hAnsi="Century Gothic"/>
          <w:sz w:val="24"/>
          <w:u w:val="single"/>
        </w:rPr>
        <w:t>______</w:t>
      </w:r>
      <w:r w:rsidRPr="00F734FE">
        <w:rPr>
          <w:rFonts w:ascii="Century Gothic" w:eastAsia="Times New Roman" w:hAnsi="Century Gothic"/>
          <w:sz w:val="24"/>
        </w:rPr>
        <w:t>shall constitute our minimum fee for the services to be rendered. The retainer is to be applied to our time charges.</w:t>
      </w:r>
    </w:p>
    <w:p w14:paraId="1DF862EF" w14:textId="77777777" w:rsidR="00262A59" w:rsidRPr="00F734FE" w:rsidRDefault="00262A59" w:rsidP="00A014C1">
      <w:pPr>
        <w:spacing w:line="276" w:lineRule="auto"/>
        <w:rPr>
          <w:rFonts w:ascii="Century Gothic" w:eastAsia="Times New Roman" w:hAnsi="Century Gothic"/>
        </w:rPr>
      </w:pPr>
    </w:p>
    <w:p w14:paraId="5CF83201" w14:textId="77777777" w:rsidR="00262A59" w:rsidRPr="00F734FE" w:rsidRDefault="00262A59" w:rsidP="00A014C1">
      <w:pPr>
        <w:spacing w:line="276" w:lineRule="auto"/>
        <w:rPr>
          <w:rFonts w:ascii="Century Gothic" w:eastAsia="Times New Roman" w:hAnsi="Century Gothic"/>
          <w:sz w:val="24"/>
        </w:rPr>
      </w:pPr>
      <w:r w:rsidRPr="00F734FE">
        <w:rPr>
          <w:rFonts w:ascii="Century Gothic" w:eastAsia="Times New Roman" w:hAnsi="Century Gothic"/>
          <w:sz w:val="24"/>
        </w:rPr>
        <w:t>Our minimum fee is intended to operate as follows:</w:t>
      </w:r>
    </w:p>
    <w:p w14:paraId="38A33FA2" w14:textId="77777777" w:rsidR="00262A59" w:rsidRPr="00F734FE" w:rsidRDefault="00262A59" w:rsidP="00A014C1">
      <w:pPr>
        <w:spacing w:line="276" w:lineRule="auto"/>
        <w:rPr>
          <w:rFonts w:ascii="Century Gothic" w:eastAsia="Times New Roman" w:hAnsi="Century Gothic"/>
        </w:rPr>
      </w:pPr>
    </w:p>
    <w:p w14:paraId="69CCF993" w14:textId="77777777" w:rsidR="00262A59" w:rsidRPr="00F734FE" w:rsidRDefault="00262A59" w:rsidP="00A014C1">
      <w:pPr>
        <w:spacing w:line="276" w:lineRule="auto"/>
        <w:ind w:right="340"/>
        <w:rPr>
          <w:rFonts w:ascii="Century Gothic" w:eastAsia="Times New Roman" w:hAnsi="Century Gothic"/>
          <w:sz w:val="24"/>
        </w:rPr>
      </w:pPr>
      <w:r w:rsidRPr="00F734FE">
        <w:rPr>
          <w:rFonts w:ascii="Century Gothic" w:eastAsia="Times New Roman" w:hAnsi="Century Gothic"/>
          <w:sz w:val="23"/>
        </w:rPr>
        <w:t>a. The time initially expended on your matter will be charged against the minimum fee. However, if your matter is concluded, whether by settlement or by judicial action, in less time</w:t>
      </w:r>
      <w:bookmarkStart w:id="0" w:name="page3"/>
      <w:bookmarkEnd w:id="0"/>
      <w:r w:rsidR="00F734FE">
        <w:rPr>
          <w:rFonts w:ascii="Century Gothic" w:eastAsia="Times New Roman" w:hAnsi="Century Gothic"/>
          <w:sz w:val="23"/>
        </w:rPr>
        <w:t xml:space="preserve"> </w:t>
      </w:r>
      <w:r w:rsidRPr="00F734FE">
        <w:rPr>
          <w:rFonts w:ascii="Century Gothic" w:eastAsia="Times New Roman" w:hAnsi="Century Gothic"/>
          <w:sz w:val="24"/>
        </w:rPr>
        <w:t xml:space="preserve">than would be required to expend the minimum fee </w:t>
      </w:r>
      <w:proofErr w:type="gramStart"/>
      <w:r w:rsidRPr="00F734FE">
        <w:rPr>
          <w:rFonts w:ascii="Century Gothic" w:eastAsia="Times New Roman" w:hAnsi="Century Gothic"/>
          <w:sz w:val="24"/>
        </w:rPr>
        <w:t>on the basis of</w:t>
      </w:r>
      <w:proofErr w:type="gramEnd"/>
      <w:r w:rsidRPr="00F734FE">
        <w:rPr>
          <w:rFonts w:ascii="Century Gothic" w:eastAsia="Times New Roman" w:hAnsi="Century Gothic"/>
          <w:sz w:val="24"/>
        </w:rPr>
        <w:t xml:space="preserve"> time alone, we shall retain the minimum fee and there would be no refund of any part of the minimum fee. An additional retainer may be required as time charges warrant.</w:t>
      </w:r>
    </w:p>
    <w:p w14:paraId="778F606E" w14:textId="77777777" w:rsidR="00262A59" w:rsidRPr="00F734FE" w:rsidRDefault="00262A59" w:rsidP="00A014C1">
      <w:pPr>
        <w:spacing w:line="276" w:lineRule="auto"/>
        <w:rPr>
          <w:rFonts w:ascii="Century Gothic" w:eastAsia="Times New Roman" w:hAnsi="Century Gothic"/>
        </w:rPr>
      </w:pPr>
    </w:p>
    <w:p w14:paraId="5273489B" w14:textId="77777777" w:rsidR="00262A59" w:rsidRPr="00F734FE" w:rsidRDefault="00262A59" w:rsidP="00A014C1">
      <w:pPr>
        <w:spacing w:line="276" w:lineRule="auto"/>
        <w:ind w:right="280"/>
        <w:rPr>
          <w:rFonts w:ascii="Century Gothic" w:eastAsia="Times New Roman" w:hAnsi="Century Gothic"/>
          <w:sz w:val="24"/>
        </w:rPr>
      </w:pPr>
      <w:r w:rsidRPr="00F734FE">
        <w:rPr>
          <w:rFonts w:ascii="Century Gothic" w:eastAsia="Times New Roman" w:hAnsi="Century Gothic"/>
          <w:sz w:val="24"/>
        </w:rPr>
        <w:t xml:space="preserve">b. If our relationship is terminated in less time than would be required to expend the minimum fee </w:t>
      </w:r>
      <w:proofErr w:type="gramStart"/>
      <w:r w:rsidRPr="00F734FE">
        <w:rPr>
          <w:rFonts w:ascii="Century Gothic" w:eastAsia="Times New Roman" w:hAnsi="Century Gothic"/>
          <w:sz w:val="24"/>
        </w:rPr>
        <w:t>on the basis of</w:t>
      </w:r>
      <w:proofErr w:type="gramEnd"/>
      <w:r w:rsidRPr="00F734FE">
        <w:rPr>
          <w:rFonts w:ascii="Century Gothic" w:eastAsia="Times New Roman" w:hAnsi="Century Gothic"/>
          <w:sz w:val="24"/>
        </w:rPr>
        <w:t xml:space="preserve"> time alone, without your matter having been concluded by settlement or judicial action, then we shall not retain the entire minimum fee. Rather, in that event a fair and reasonable fee will be determined in accordance with legally accepted standards and only such portion of the minimum fee as represents such fair and reasonable fee would be retained. The elements of a reasonable fee are set forth in DR 2 -106 of the Lawyer’s Code of Professional Responsibility, a copy of which provision will be furnished to you upon request.</w:t>
      </w:r>
    </w:p>
    <w:p w14:paraId="2BB54AD6" w14:textId="77777777" w:rsidR="00262A59" w:rsidRPr="00F734FE" w:rsidRDefault="00262A59" w:rsidP="00A014C1">
      <w:pPr>
        <w:spacing w:line="276" w:lineRule="auto"/>
        <w:rPr>
          <w:rFonts w:ascii="Century Gothic" w:eastAsia="Times New Roman" w:hAnsi="Century Gothic"/>
        </w:rPr>
      </w:pPr>
    </w:p>
    <w:p w14:paraId="6504B620" w14:textId="77777777" w:rsidR="00262A59" w:rsidRPr="00F734FE" w:rsidRDefault="00262A59" w:rsidP="00A014C1">
      <w:pPr>
        <w:spacing w:line="276" w:lineRule="auto"/>
        <w:rPr>
          <w:rFonts w:ascii="Century Gothic" w:eastAsia="Times New Roman" w:hAnsi="Century Gothic"/>
          <w:b/>
          <w:bCs/>
          <w:sz w:val="24"/>
        </w:rPr>
      </w:pPr>
      <w:r w:rsidRPr="00F734FE">
        <w:rPr>
          <w:rFonts w:ascii="Century Gothic" w:eastAsia="Times New Roman" w:hAnsi="Century Gothic"/>
          <w:b/>
          <w:bCs/>
          <w:sz w:val="24"/>
        </w:rPr>
        <w:t>ARBITRATION</w:t>
      </w:r>
    </w:p>
    <w:p w14:paraId="00CBE749" w14:textId="77777777" w:rsidR="00262A59" w:rsidRPr="00F734FE" w:rsidRDefault="00262A59" w:rsidP="00A014C1">
      <w:pPr>
        <w:spacing w:line="276" w:lineRule="auto"/>
        <w:rPr>
          <w:rFonts w:ascii="Century Gothic" w:eastAsia="Times New Roman" w:hAnsi="Century Gothic"/>
        </w:rPr>
      </w:pPr>
    </w:p>
    <w:p w14:paraId="29748016" w14:textId="77777777" w:rsidR="00262A59" w:rsidRDefault="00262A59" w:rsidP="00A014C1">
      <w:pPr>
        <w:spacing w:line="276" w:lineRule="auto"/>
        <w:ind w:right="540"/>
        <w:rPr>
          <w:rFonts w:ascii="Century Gothic" w:eastAsia="Times New Roman" w:hAnsi="Century Gothic"/>
          <w:sz w:val="24"/>
        </w:rPr>
      </w:pPr>
      <w:proofErr w:type="gramStart"/>
      <w:r w:rsidRPr="00F734FE">
        <w:rPr>
          <w:rFonts w:ascii="Century Gothic" w:eastAsia="Times New Roman" w:hAnsi="Century Gothic"/>
          <w:sz w:val="24"/>
        </w:rPr>
        <w:t>In the event that</w:t>
      </w:r>
      <w:proofErr w:type="gramEnd"/>
      <w:r w:rsidRPr="00F734FE">
        <w:rPr>
          <w:rFonts w:ascii="Century Gothic" w:eastAsia="Times New Roman" w:hAnsi="Century Gothic"/>
          <w:sz w:val="24"/>
        </w:rPr>
        <w:t xml:space="preserve"> a dispute arises between us relating to our fees, you may have the right to arbitration of the dispute pursuant to Part 137 of the Rules </w:t>
      </w:r>
      <w:r w:rsidRPr="00F734FE">
        <w:rPr>
          <w:rFonts w:ascii="Century Gothic" w:eastAsia="Times New Roman" w:hAnsi="Century Gothic"/>
          <w:sz w:val="24"/>
        </w:rPr>
        <w:lastRenderedPageBreak/>
        <w:t>of the Chief Administrator of the Courts, a copy of which will be provided to you upon request.</w:t>
      </w:r>
    </w:p>
    <w:p w14:paraId="7562980B" w14:textId="77777777" w:rsidR="00F734FE" w:rsidRDefault="00F734FE" w:rsidP="00A014C1">
      <w:pPr>
        <w:spacing w:line="276" w:lineRule="auto"/>
        <w:ind w:right="540"/>
        <w:rPr>
          <w:rFonts w:ascii="Century Gothic" w:eastAsia="Times New Roman" w:hAnsi="Century Gothic"/>
          <w:sz w:val="24"/>
        </w:rPr>
      </w:pPr>
    </w:p>
    <w:p w14:paraId="626FD159" w14:textId="77777777" w:rsidR="00F734FE" w:rsidRPr="00F734FE" w:rsidRDefault="00F734FE" w:rsidP="00A014C1">
      <w:pPr>
        <w:spacing w:line="276" w:lineRule="auto"/>
        <w:ind w:right="540"/>
        <w:rPr>
          <w:rFonts w:ascii="Century Gothic" w:eastAsia="Times New Roman" w:hAnsi="Century Gothic"/>
          <w:sz w:val="24"/>
        </w:rPr>
      </w:pPr>
    </w:p>
    <w:p w14:paraId="76BF226A" w14:textId="77777777" w:rsidR="00262A59" w:rsidRPr="00F734FE" w:rsidRDefault="00262A59" w:rsidP="00A014C1">
      <w:pPr>
        <w:spacing w:line="276" w:lineRule="auto"/>
        <w:rPr>
          <w:rFonts w:ascii="Century Gothic" w:eastAsia="Times New Roman" w:hAnsi="Century Gothic"/>
        </w:rPr>
      </w:pPr>
    </w:p>
    <w:p w14:paraId="1D98299B" w14:textId="77777777" w:rsidR="00262A59" w:rsidRPr="00F734FE" w:rsidRDefault="00262A59" w:rsidP="00A014C1">
      <w:pPr>
        <w:spacing w:line="276" w:lineRule="auto"/>
        <w:rPr>
          <w:rFonts w:ascii="Century Gothic" w:eastAsia="Times New Roman" w:hAnsi="Century Gothic"/>
          <w:sz w:val="24"/>
        </w:rPr>
      </w:pPr>
      <w:r w:rsidRPr="00F734FE">
        <w:rPr>
          <w:rFonts w:ascii="Century Gothic" w:eastAsia="Times New Roman" w:hAnsi="Century Gothic"/>
          <w:sz w:val="24"/>
        </w:rPr>
        <w:t>[Name of Law Firm]</w:t>
      </w:r>
    </w:p>
    <w:p w14:paraId="7180E4C4" w14:textId="77777777" w:rsidR="00262A59" w:rsidRPr="00F734FE" w:rsidRDefault="00262A59" w:rsidP="00A014C1">
      <w:pPr>
        <w:spacing w:line="276" w:lineRule="auto"/>
        <w:rPr>
          <w:rFonts w:ascii="Century Gothic" w:eastAsia="Times New Roman" w:hAnsi="Century Gothic"/>
        </w:rPr>
      </w:pPr>
    </w:p>
    <w:p w14:paraId="78D51BA6" w14:textId="77777777" w:rsidR="00262A59" w:rsidRPr="00F734FE" w:rsidRDefault="00262A59" w:rsidP="00A014C1">
      <w:pPr>
        <w:spacing w:line="276" w:lineRule="auto"/>
        <w:rPr>
          <w:rFonts w:ascii="Century Gothic" w:eastAsia="Times New Roman" w:hAnsi="Century Gothic"/>
        </w:rPr>
      </w:pPr>
    </w:p>
    <w:p w14:paraId="2292B79A" w14:textId="77777777" w:rsidR="00262A59" w:rsidRPr="00F734FE" w:rsidRDefault="00262A59" w:rsidP="00A014C1">
      <w:pPr>
        <w:spacing w:line="276" w:lineRule="auto"/>
        <w:rPr>
          <w:rFonts w:ascii="Century Gothic" w:eastAsia="Times New Roman" w:hAnsi="Century Gothic"/>
        </w:rPr>
      </w:pPr>
    </w:p>
    <w:p w14:paraId="719A5201" w14:textId="77777777" w:rsidR="00262A59" w:rsidRPr="00F734FE" w:rsidRDefault="00262A59" w:rsidP="00A014C1">
      <w:pPr>
        <w:spacing w:line="276" w:lineRule="auto"/>
        <w:rPr>
          <w:rFonts w:ascii="Century Gothic" w:eastAsia="Times New Roman" w:hAnsi="Century Gothic"/>
          <w:sz w:val="24"/>
        </w:rPr>
      </w:pPr>
      <w:r w:rsidRPr="00F734FE">
        <w:rPr>
          <w:rFonts w:ascii="Century Gothic" w:eastAsia="Times New Roman" w:hAnsi="Century Gothic"/>
          <w:sz w:val="24"/>
        </w:rPr>
        <w:t>By:</w:t>
      </w:r>
    </w:p>
    <w:p w14:paraId="4848E002" w14:textId="77777777" w:rsidR="00262A59" w:rsidRPr="00F734FE" w:rsidRDefault="00262A59" w:rsidP="00A014C1">
      <w:pPr>
        <w:spacing w:line="276" w:lineRule="auto"/>
        <w:rPr>
          <w:rFonts w:ascii="Century Gothic" w:eastAsia="Times New Roman" w:hAnsi="Century Gothic"/>
        </w:rPr>
      </w:pPr>
    </w:p>
    <w:p w14:paraId="2EC67914" w14:textId="77777777" w:rsidR="00262A59" w:rsidRPr="00F734FE" w:rsidRDefault="00262A59" w:rsidP="00A014C1">
      <w:pPr>
        <w:spacing w:line="276" w:lineRule="auto"/>
        <w:rPr>
          <w:rFonts w:ascii="Century Gothic" w:eastAsia="Times New Roman" w:hAnsi="Century Gothic"/>
          <w:sz w:val="24"/>
        </w:rPr>
      </w:pPr>
      <w:r w:rsidRPr="00F734FE">
        <w:rPr>
          <w:rFonts w:ascii="Century Gothic" w:eastAsia="Times New Roman" w:hAnsi="Century Gothic"/>
          <w:sz w:val="24"/>
        </w:rPr>
        <w:t>Dated:</w:t>
      </w:r>
    </w:p>
    <w:p w14:paraId="0F1FD1A1" w14:textId="77777777" w:rsidR="00262A59" w:rsidRPr="00F734FE" w:rsidRDefault="00262A59" w:rsidP="00A014C1">
      <w:pPr>
        <w:spacing w:line="276" w:lineRule="auto"/>
        <w:rPr>
          <w:rFonts w:ascii="Century Gothic" w:eastAsia="Times New Roman" w:hAnsi="Century Gothic"/>
          <w:sz w:val="24"/>
        </w:rPr>
        <w:sectPr w:rsidR="00262A59" w:rsidRPr="00F734FE" w:rsidSect="00557414">
          <w:pgSz w:w="12240" w:h="15840"/>
          <w:pgMar w:top="1440" w:right="1440" w:bottom="1440" w:left="1440" w:header="0" w:footer="0" w:gutter="0"/>
          <w:cols w:space="0" w:equalWidth="0">
            <w:col w:w="9360"/>
          </w:cols>
          <w:docGrid w:linePitch="360"/>
        </w:sectPr>
      </w:pPr>
    </w:p>
    <w:p w14:paraId="52B9CD67" w14:textId="77777777" w:rsidR="00262A59" w:rsidRPr="00F734FE" w:rsidRDefault="00262A59" w:rsidP="00A014C1">
      <w:pPr>
        <w:spacing w:line="276" w:lineRule="auto"/>
        <w:jc w:val="center"/>
        <w:rPr>
          <w:rFonts w:ascii="Century Gothic" w:eastAsia="Times New Roman" w:hAnsi="Century Gothic"/>
          <w:b/>
          <w:sz w:val="24"/>
        </w:rPr>
      </w:pPr>
      <w:bookmarkStart w:id="1" w:name="page4"/>
      <w:bookmarkEnd w:id="1"/>
      <w:r w:rsidRPr="00F734FE">
        <w:rPr>
          <w:rFonts w:ascii="Century Gothic" w:eastAsia="Times New Roman" w:hAnsi="Century Gothic"/>
          <w:b/>
          <w:sz w:val="24"/>
        </w:rPr>
        <w:lastRenderedPageBreak/>
        <w:t>Order Adopted by the Appellate Divisions</w:t>
      </w:r>
    </w:p>
    <w:p w14:paraId="3D09BFEF" w14:textId="77777777" w:rsidR="00262A59" w:rsidRPr="00F734FE" w:rsidRDefault="00262A59" w:rsidP="00A014C1">
      <w:pPr>
        <w:spacing w:line="276" w:lineRule="auto"/>
        <w:rPr>
          <w:rFonts w:ascii="Century Gothic" w:eastAsia="Times New Roman" w:hAnsi="Century Gothic"/>
        </w:rPr>
      </w:pPr>
    </w:p>
    <w:p w14:paraId="3A1513A8" w14:textId="77777777" w:rsidR="00262A59" w:rsidRPr="00F734FE" w:rsidRDefault="00262A59" w:rsidP="00A014C1">
      <w:pPr>
        <w:spacing w:line="276" w:lineRule="auto"/>
        <w:jc w:val="center"/>
        <w:rPr>
          <w:rFonts w:ascii="Century Gothic" w:eastAsia="Times New Roman" w:hAnsi="Century Gothic"/>
          <w:b/>
          <w:sz w:val="24"/>
        </w:rPr>
      </w:pPr>
      <w:r w:rsidRPr="00F734FE">
        <w:rPr>
          <w:rFonts w:ascii="Century Gothic" w:eastAsia="Times New Roman" w:hAnsi="Century Gothic"/>
          <w:b/>
          <w:sz w:val="24"/>
        </w:rPr>
        <w:t>December 20, 20</w:t>
      </w:r>
      <w:r w:rsidR="00F734FE">
        <w:rPr>
          <w:rFonts w:ascii="Century Gothic" w:eastAsia="Times New Roman" w:hAnsi="Century Gothic"/>
          <w:b/>
          <w:sz w:val="24"/>
        </w:rPr>
        <w:t>XX</w:t>
      </w:r>
    </w:p>
    <w:p w14:paraId="559FFA15" w14:textId="77777777" w:rsidR="00262A59" w:rsidRPr="00F734FE" w:rsidRDefault="00262A59" w:rsidP="00A014C1">
      <w:pPr>
        <w:spacing w:line="276" w:lineRule="auto"/>
        <w:rPr>
          <w:rFonts w:ascii="Century Gothic" w:eastAsia="Times New Roman" w:hAnsi="Century Gothic"/>
        </w:rPr>
      </w:pPr>
    </w:p>
    <w:p w14:paraId="7549E09A" w14:textId="77777777" w:rsidR="00262A59" w:rsidRPr="00F734FE" w:rsidRDefault="00262A59" w:rsidP="00A014C1">
      <w:pPr>
        <w:spacing w:line="276" w:lineRule="auto"/>
        <w:jc w:val="center"/>
        <w:rPr>
          <w:rFonts w:ascii="Century Gothic" w:eastAsia="Times New Roman" w:hAnsi="Century Gothic"/>
          <w:b/>
          <w:sz w:val="24"/>
          <w:u w:val="single"/>
        </w:rPr>
      </w:pPr>
      <w:r w:rsidRPr="00F734FE">
        <w:rPr>
          <w:rFonts w:ascii="Century Gothic" w:eastAsia="Times New Roman" w:hAnsi="Century Gothic"/>
          <w:b/>
          <w:sz w:val="24"/>
          <w:u w:val="single"/>
        </w:rPr>
        <w:t>Amended April 3, 20</w:t>
      </w:r>
      <w:r w:rsidR="00F734FE">
        <w:rPr>
          <w:rFonts w:ascii="Century Gothic" w:eastAsia="Times New Roman" w:hAnsi="Century Gothic"/>
          <w:b/>
          <w:sz w:val="24"/>
          <w:u w:val="single"/>
        </w:rPr>
        <w:t>XX</w:t>
      </w:r>
    </w:p>
    <w:p w14:paraId="2E3A6025" w14:textId="77777777" w:rsidR="00262A59" w:rsidRDefault="00262A59" w:rsidP="00A014C1">
      <w:pPr>
        <w:spacing w:line="276" w:lineRule="auto"/>
        <w:rPr>
          <w:rFonts w:ascii="Century Gothic" w:eastAsia="Times New Roman" w:hAnsi="Century Gothic"/>
        </w:rPr>
      </w:pPr>
    </w:p>
    <w:p w14:paraId="10872A02" w14:textId="77777777" w:rsidR="00F734FE" w:rsidRPr="00F734FE" w:rsidRDefault="00F734FE" w:rsidP="00A014C1">
      <w:pPr>
        <w:spacing w:line="276" w:lineRule="auto"/>
        <w:rPr>
          <w:rFonts w:ascii="Century Gothic" w:eastAsia="Times New Roman" w:hAnsi="Century Gothic"/>
        </w:rPr>
      </w:pPr>
    </w:p>
    <w:p w14:paraId="2C635BE7" w14:textId="77777777" w:rsidR="00262A59" w:rsidRPr="00F734FE" w:rsidRDefault="00262A59" w:rsidP="00A014C1">
      <w:pPr>
        <w:spacing w:line="276" w:lineRule="auto"/>
        <w:ind w:right="20"/>
        <w:rPr>
          <w:rFonts w:ascii="Century Gothic" w:eastAsia="Times New Roman" w:hAnsi="Century Gothic"/>
          <w:sz w:val="24"/>
        </w:rPr>
      </w:pPr>
      <w:r w:rsidRPr="00F734FE">
        <w:rPr>
          <w:rFonts w:ascii="Century Gothic" w:eastAsia="Times New Roman" w:hAnsi="Century Gothic"/>
          <w:sz w:val="24"/>
        </w:rPr>
        <w:t>The Appellate Divisions of the Supreme Court, pursuant to the authority invested in them, do hereby add, effective March 4, 20</w:t>
      </w:r>
      <w:r w:rsidR="00F734FE">
        <w:rPr>
          <w:rFonts w:ascii="Century Gothic" w:eastAsia="Times New Roman" w:hAnsi="Century Gothic"/>
          <w:sz w:val="24"/>
        </w:rPr>
        <w:t>XX</w:t>
      </w:r>
      <w:r w:rsidRPr="00F734FE">
        <w:rPr>
          <w:rFonts w:ascii="Century Gothic" w:eastAsia="Times New Roman" w:hAnsi="Century Gothic"/>
          <w:sz w:val="24"/>
        </w:rPr>
        <w:t xml:space="preserve">, Part 1215 to Title 22 of the Official Compilations of Codes, </w:t>
      </w:r>
      <w:proofErr w:type="gramStart"/>
      <w:r w:rsidRPr="00F734FE">
        <w:rPr>
          <w:rFonts w:ascii="Century Gothic" w:eastAsia="Times New Roman" w:hAnsi="Century Gothic"/>
          <w:sz w:val="24"/>
        </w:rPr>
        <w:t>Rules</w:t>
      </w:r>
      <w:proofErr w:type="gramEnd"/>
      <w:r w:rsidRPr="00F734FE">
        <w:rPr>
          <w:rFonts w:ascii="Century Gothic" w:eastAsia="Times New Roman" w:hAnsi="Century Gothic"/>
          <w:sz w:val="24"/>
        </w:rPr>
        <w:t xml:space="preserve"> and Regulations of the State of New York, entitled "Written Letter of Engagement," as follows:</w:t>
      </w:r>
    </w:p>
    <w:p w14:paraId="7AC98A33" w14:textId="77777777" w:rsidR="00262A59" w:rsidRPr="00F734FE" w:rsidRDefault="00262A59" w:rsidP="00A014C1">
      <w:pPr>
        <w:spacing w:line="276" w:lineRule="auto"/>
        <w:rPr>
          <w:rFonts w:ascii="Century Gothic" w:eastAsia="Times New Roman" w:hAnsi="Century Gothic"/>
        </w:rPr>
      </w:pPr>
    </w:p>
    <w:p w14:paraId="20C7CC34" w14:textId="77777777" w:rsidR="00262A59" w:rsidRPr="00F734FE" w:rsidRDefault="00262A59" w:rsidP="00A014C1">
      <w:pPr>
        <w:spacing w:line="276" w:lineRule="auto"/>
        <w:rPr>
          <w:rFonts w:ascii="Century Gothic" w:eastAsia="Times New Roman" w:hAnsi="Century Gothic"/>
          <w:sz w:val="24"/>
        </w:rPr>
      </w:pPr>
      <w:r w:rsidRPr="00F734FE">
        <w:rPr>
          <w:rFonts w:ascii="Century Gothic" w:eastAsia="Times New Roman" w:hAnsi="Century Gothic"/>
          <w:sz w:val="24"/>
        </w:rPr>
        <w:t>Part 1215 Written Letter of Engagement</w:t>
      </w:r>
    </w:p>
    <w:p w14:paraId="2BF19C2B" w14:textId="77777777" w:rsidR="00262A59" w:rsidRPr="00F734FE" w:rsidRDefault="00262A59" w:rsidP="00A014C1">
      <w:pPr>
        <w:spacing w:line="276" w:lineRule="auto"/>
        <w:rPr>
          <w:rFonts w:ascii="Century Gothic" w:eastAsia="Times New Roman" w:hAnsi="Century Gothic"/>
        </w:rPr>
      </w:pPr>
    </w:p>
    <w:p w14:paraId="6F00D6B7" w14:textId="77777777" w:rsidR="00262A59" w:rsidRPr="00F734FE" w:rsidRDefault="00262A59" w:rsidP="00A014C1">
      <w:pPr>
        <w:spacing w:line="276" w:lineRule="auto"/>
        <w:rPr>
          <w:rFonts w:ascii="Century Gothic" w:eastAsia="Times New Roman" w:hAnsi="Century Gothic"/>
          <w:sz w:val="24"/>
        </w:rPr>
      </w:pPr>
      <w:r w:rsidRPr="00F734FE">
        <w:rPr>
          <w:rFonts w:ascii="Century Gothic" w:eastAsia="Times New Roman" w:hAnsi="Century Gothic"/>
          <w:sz w:val="24"/>
        </w:rPr>
        <w:t>§1215.1 Requirements</w:t>
      </w:r>
    </w:p>
    <w:p w14:paraId="0E3A140F" w14:textId="77777777" w:rsidR="00262A59" w:rsidRPr="00F734FE" w:rsidRDefault="00262A59" w:rsidP="00A014C1">
      <w:pPr>
        <w:spacing w:line="276" w:lineRule="auto"/>
        <w:rPr>
          <w:rFonts w:ascii="Century Gothic" w:eastAsia="Times New Roman" w:hAnsi="Century Gothic"/>
        </w:rPr>
      </w:pPr>
    </w:p>
    <w:p w14:paraId="65203460" w14:textId="77777777" w:rsidR="00262A59" w:rsidRPr="00F734FE" w:rsidRDefault="00262A59" w:rsidP="00A014C1">
      <w:pPr>
        <w:numPr>
          <w:ilvl w:val="0"/>
          <w:numId w:val="2"/>
        </w:numPr>
        <w:tabs>
          <w:tab w:val="left" w:pos="327"/>
        </w:tabs>
        <w:spacing w:line="276" w:lineRule="auto"/>
        <w:ind w:right="20"/>
        <w:rPr>
          <w:rFonts w:ascii="Century Gothic" w:eastAsia="Times New Roman" w:hAnsi="Century Gothic"/>
          <w:sz w:val="24"/>
        </w:rPr>
      </w:pPr>
      <w:r w:rsidRPr="00F734FE">
        <w:rPr>
          <w:rFonts w:ascii="Century Gothic" w:eastAsia="Times New Roman" w:hAnsi="Century Gothic"/>
          <w:sz w:val="24"/>
        </w:rPr>
        <w:t xml:space="preserve">Effective March 4, 2002, an attorney who undertakes to represent a client and </w:t>
      </w:r>
      <w:proofErr w:type="gramStart"/>
      <w:r w:rsidRPr="00F734FE">
        <w:rPr>
          <w:rFonts w:ascii="Century Gothic" w:eastAsia="Times New Roman" w:hAnsi="Century Gothic"/>
          <w:sz w:val="24"/>
        </w:rPr>
        <w:t>enters into</w:t>
      </w:r>
      <w:proofErr w:type="gramEnd"/>
      <w:r w:rsidRPr="00F734FE">
        <w:rPr>
          <w:rFonts w:ascii="Century Gothic" w:eastAsia="Times New Roman" w:hAnsi="Century Gothic"/>
          <w:sz w:val="24"/>
        </w:rPr>
        <w:t xml:space="preserve"> an arrangement for, charges or collects any fee from a client shall provide to the client a written letter of engagement before commencing the representation, or within a reasonable time thereafter (i) if otherwise impracticable or (ii) if the scope of services to be provided cannot be determined at the time of the commencement of representation. For purposes of this rule, where an entity (such as an insurance carrier) engages an attorney to represent a third party, the term "client" shall mean the entity that engages the attorney. Where there is a significant change in the scope of services or the fee to be charged, an updated letter of engagement shall be provided to the client.</w:t>
      </w:r>
    </w:p>
    <w:p w14:paraId="1F86382B" w14:textId="77777777" w:rsidR="00262A59" w:rsidRPr="00F734FE" w:rsidRDefault="00262A59" w:rsidP="00A014C1">
      <w:pPr>
        <w:spacing w:line="276" w:lineRule="auto"/>
        <w:rPr>
          <w:rFonts w:ascii="Century Gothic" w:eastAsia="Times New Roman" w:hAnsi="Century Gothic"/>
          <w:sz w:val="24"/>
        </w:rPr>
      </w:pPr>
    </w:p>
    <w:p w14:paraId="7B2595AC" w14:textId="77777777" w:rsidR="00262A59" w:rsidRPr="00F734FE" w:rsidRDefault="00262A59" w:rsidP="00A014C1">
      <w:pPr>
        <w:numPr>
          <w:ilvl w:val="0"/>
          <w:numId w:val="2"/>
        </w:numPr>
        <w:tabs>
          <w:tab w:val="left" w:pos="340"/>
        </w:tabs>
        <w:spacing w:line="276" w:lineRule="auto"/>
        <w:ind w:right="100"/>
        <w:rPr>
          <w:rFonts w:ascii="Century Gothic" w:eastAsia="Times New Roman" w:hAnsi="Century Gothic"/>
          <w:sz w:val="24"/>
        </w:rPr>
      </w:pPr>
      <w:r w:rsidRPr="00F734FE">
        <w:rPr>
          <w:rFonts w:ascii="Century Gothic" w:eastAsia="Times New Roman" w:hAnsi="Century Gothic"/>
          <w:sz w:val="24"/>
        </w:rPr>
        <w:t>The letter of engagement shall address the following matters: (1) Explanation of the scope of the legal services to be provided; (2) Explanation of attorney's fees to be charged, expenses and billing practices; and (3) Where applicable, shall provide that the client may have a right to arbitrate fee disputes under Part 137 of the Rules of the Chief Administrator.</w:t>
      </w:r>
    </w:p>
    <w:p w14:paraId="6BEBCF55" w14:textId="77777777" w:rsidR="00262A59" w:rsidRPr="00F734FE" w:rsidRDefault="00262A59" w:rsidP="00A014C1">
      <w:pPr>
        <w:spacing w:line="276" w:lineRule="auto"/>
        <w:rPr>
          <w:rFonts w:ascii="Century Gothic" w:eastAsia="Times New Roman" w:hAnsi="Century Gothic"/>
          <w:sz w:val="24"/>
        </w:rPr>
      </w:pPr>
    </w:p>
    <w:p w14:paraId="507DE6CA" w14:textId="77777777" w:rsidR="00262A59" w:rsidRPr="00F734FE" w:rsidRDefault="00262A59" w:rsidP="00A014C1">
      <w:pPr>
        <w:numPr>
          <w:ilvl w:val="0"/>
          <w:numId w:val="2"/>
        </w:numPr>
        <w:tabs>
          <w:tab w:val="left" w:pos="327"/>
        </w:tabs>
        <w:spacing w:line="276" w:lineRule="auto"/>
        <w:ind w:right="100"/>
        <w:jc w:val="both"/>
        <w:rPr>
          <w:rFonts w:ascii="Century Gothic" w:eastAsia="Times New Roman" w:hAnsi="Century Gothic"/>
          <w:sz w:val="24"/>
        </w:rPr>
      </w:pPr>
      <w:r w:rsidRPr="00F734FE">
        <w:rPr>
          <w:rFonts w:ascii="Century Gothic" w:eastAsia="Times New Roman" w:hAnsi="Century Gothic"/>
          <w:sz w:val="24"/>
        </w:rPr>
        <w:t>Instead of providing the client with a written letter of engagement, an attorney may comply with the provisions of subdivision (a) by entering into a signed written retainer agreement with the client, before or within a reasonable time after commencing the representation, provided that the agreement addresses the matters set forth in subdivision (b).</w:t>
      </w:r>
    </w:p>
    <w:p w14:paraId="090BB76A" w14:textId="77777777" w:rsidR="00262A59" w:rsidRPr="00F734FE" w:rsidRDefault="00262A59" w:rsidP="00A014C1">
      <w:pPr>
        <w:spacing w:line="276" w:lineRule="auto"/>
        <w:rPr>
          <w:rFonts w:ascii="Century Gothic" w:eastAsia="Times New Roman" w:hAnsi="Century Gothic"/>
        </w:rPr>
      </w:pPr>
    </w:p>
    <w:p w14:paraId="218823CB" w14:textId="77777777" w:rsidR="00262A59" w:rsidRPr="00F734FE" w:rsidRDefault="00262A59" w:rsidP="00A014C1">
      <w:pPr>
        <w:spacing w:line="276" w:lineRule="auto"/>
        <w:rPr>
          <w:rFonts w:ascii="Century Gothic" w:eastAsia="Times New Roman" w:hAnsi="Century Gothic"/>
          <w:sz w:val="24"/>
        </w:rPr>
      </w:pPr>
      <w:r w:rsidRPr="00F734FE">
        <w:rPr>
          <w:rFonts w:ascii="Century Gothic" w:eastAsia="Times New Roman" w:hAnsi="Century Gothic"/>
          <w:sz w:val="24"/>
        </w:rPr>
        <w:t>§1215.2 Exceptions</w:t>
      </w:r>
    </w:p>
    <w:p w14:paraId="7ED1E4C1" w14:textId="77777777" w:rsidR="00262A59" w:rsidRPr="00F734FE" w:rsidRDefault="00262A59" w:rsidP="00A014C1">
      <w:pPr>
        <w:spacing w:line="276" w:lineRule="auto"/>
        <w:rPr>
          <w:rFonts w:ascii="Century Gothic" w:eastAsia="Times New Roman" w:hAnsi="Century Gothic"/>
        </w:rPr>
      </w:pPr>
    </w:p>
    <w:p w14:paraId="5541C14A" w14:textId="77777777" w:rsidR="00262A59" w:rsidRPr="00F734FE" w:rsidRDefault="00262A59" w:rsidP="00A014C1">
      <w:pPr>
        <w:spacing w:line="276" w:lineRule="auto"/>
        <w:ind w:right="220"/>
        <w:rPr>
          <w:rFonts w:ascii="Century Gothic" w:eastAsia="Times New Roman" w:hAnsi="Century Gothic"/>
          <w:sz w:val="24"/>
        </w:rPr>
      </w:pPr>
      <w:r w:rsidRPr="00F734FE">
        <w:rPr>
          <w:rFonts w:ascii="Century Gothic" w:eastAsia="Times New Roman" w:hAnsi="Century Gothic"/>
          <w:sz w:val="24"/>
        </w:rPr>
        <w:t>This section shall not apply to (1) representation of a client where the fee to be charged is expected to be less than $3000, (2) representation where the attorney's services are of the same general kind as previously rendered to and paid for by the client, or (3) representation in domestic relations matters subject to Part 1400 of the Joint Rules of the Appellate Division (22 NYCRR) or (4) representation where the attorney is admitted to practice in another jurisdiction and maintains no office in the State of New York, or where no material portion of the services are to be rendered in New York.</w:t>
      </w:r>
    </w:p>
    <w:sectPr w:rsidR="00262A59" w:rsidRPr="00F734FE" w:rsidSect="00557414">
      <w:pgSz w:w="12240" w:h="15840"/>
      <w:pgMar w:top="1440" w:right="1440" w:bottom="1440" w:left="1440" w:header="0" w:footer="0" w:gutter="0"/>
      <w:cols w:space="0" w:equalWidth="0">
        <w:col w:w="936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643C9868"/>
    <w:lvl w:ilvl="0" w:tplc="F9861FD0">
      <w:start w:val="2"/>
      <w:numFmt w:val="decimal"/>
      <w:lvlText w:val="(%1)"/>
      <w:lvlJc w:val="left"/>
    </w:lvl>
    <w:lvl w:ilvl="1" w:tplc="E7EAB1E6">
      <w:start w:val="1"/>
      <w:numFmt w:val="bullet"/>
      <w:lvlText w:val=""/>
      <w:lvlJc w:val="left"/>
    </w:lvl>
    <w:lvl w:ilvl="2" w:tplc="63CAAD66">
      <w:start w:val="1"/>
      <w:numFmt w:val="bullet"/>
      <w:lvlText w:val=""/>
      <w:lvlJc w:val="left"/>
    </w:lvl>
    <w:lvl w:ilvl="3" w:tplc="AA201CF6">
      <w:start w:val="1"/>
      <w:numFmt w:val="bullet"/>
      <w:lvlText w:val=""/>
      <w:lvlJc w:val="left"/>
    </w:lvl>
    <w:lvl w:ilvl="4" w:tplc="76227488">
      <w:start w:val="1"/>
      <w:numFmt w:val="bullet"/>
      <w:lvlText w:val=""/>
      <w:lvlJc w:val="left"/>
    </w:lvl>
    <w:lvl w:ilvl="5" w:tplc="17BCC764">
      <w:start w:val="1"/>
      <w:numFmt w:val="bullet"/>
      <w:lvlText w:val=""/>
      <w:lvlJc w:val="left"/>
    </w:lvl>
    <w:lvl w:ilvl="6" w:tplc="04B4C1EE">
      <w:start w:val="1"/>
      <w:numFmt w:val="bullet"/>
      <w:lvlText w:val=""/>
      <w:lvlJc w:val="left"/>
    </w:lvl>
    <w:lvl w:ilvl="7" w:tplc="3C68D8CE">
      <w:start w:val="1"/>
      <w:numFmt w:val="bullet"/>
      <w:lvlText w:val=""/>
      <w:lvlJc w:val="left"/>
    </w:lvl>
    <w:lvl w:ilvl="8" w:tplc="069A9344">
      <w:start w:val="1"/>
      <w:numFmt w:val="bullet"/>
      <w:lvlText w:val=""/>
      <w:lvlJc w:val="left"/>
    </w:lvl>
  </w:abstractNum>
  <w:abstractNum w:abstractNumId="1" w15:restartNumberingAfterBreak="0">
    <w:nsid w:val="00000002"/>
    <w:multiLevelType w:val="hybridMultilevel"/>
    <w:tmpl w:val="66334872"/>
    <w:lvl w:ilvl="0" w:tplc="F0AA3856">
      <w:start w:val="1"/>
      <w:numFmt w:val="lowerLetter"/>
      <w:lvlText w:val="(%1)"/>
      <w:lvlJc w:val="left"/>
    </w:lvl>
    <w:lvl w:ilvl="1" w:tplc="A81A78AC">
      <w:start w:val="1"/>
      <w:numFmt w:val="bullet"/>
      <w:lvlText w:val=""/>
      <w:lvlJc w:val="left"/>
    </w:lvl>
    <w:lvl w:ilvl="2" w:tplc="CA081EAC">
      <w:start w:val="1"/>
      <w:numFmt w:val="bullet"/>
      <w:lvlText w:val=""/>
      <w:lvlJc w:val="left"/>
    </w:lvl>
    <w:lvl w:ilvl="3" w:tplc="04DEF142">
      <w:start w:val="1"/>
      <w:numFmt w:val="bullet"/>
      <w:lvlText w:val=""/>
      <w:lvlJc w:val="left"/>
    </w:lvl>
    <w:lvl w:ilvl="4" w:tplc="37FC3C44">
      <w:start w:val="1"/>
      <w:numFmt w:val="bullet"/>
      <w:lvlText w:val=""/>
      <w:lvlJc w:val="left"/>
    </w:lvl>
    <w:lvl w:ilvl="5" w:tplc="85B25DE4">
      <w:start w:val="1"/>
      <w:numFmt w:val="bullet"/>
      <w:lvlText w:val=""/>
      <w:lvlJc w:val="left"/>
    </w:lvl>
    <w:lvl w:ilvl="6" w:tplc="4EBE4F62">
      <w:start w:val="1"/>
      <w:numFmt w:val="bullet"/>
      <w:lvlText w:val=""/>
      <w:lvlJc w:val="left"/>
    </w:lvl>
    <w:lvl w:ilvl="7" w:tplc="B97E8974">
      <w:start w:val="1"/>
      <w:numFmt w:val="bullet"/>
      <w:lvlText w:val=""/>
      <w:lvlJc w:val="left"/>
    </w:lvl>
    <w:lvl w:ilvl="8" w:tplc="C68C755C">
      <w:start w:val="1"/>
      <w:numFmt w:val="bullet"/>
      <w:lvlText w:val=""/>
      <w:lvlJc w:val="left"/>
    </w:lvl>
  </w:abstractNum>
  <w:num w:numId="1" w16cid:durableId="1664814143">
    <w:abstractNumId w:val="0"/>
  </w:num>
  <w:num w:numId="2" w16cid:durableId="20018105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4FE"/>
    <w:rsid w:val="00262A59"/>
    <w:rsid w:val="00557414"/>
    <w:rsid w:val="00986489"/>
    <w:rsid w:val="00A014C1"/>
    <w:rsid w:val="00F734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72BA0C"/>
  <w15:chartTrackingRefBased/>
  <w15:docId w15:val="{DB1A011C-23A0-47AD-B8E0-2337E17D9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902</Words>
  <Characters>5143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cp:lastModifiedBy>1811</cp:lastModifiedBy>
  <cp:revision>4</cp:revision>
  <dcterms:created xsi:type="dcterms:W3CDTF">2022-06-22T17:26:00Z</dcterms:created>
  <dcterms:modified xsi:type="dcterms:W3CDTF">2022-06-22T18:31:00Z</dcterms:modified>
</cp:coreProperties>
</file>